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41A7A2">
      <w:pPr>
        <w:snapToGrid w:val="0"/>
        <w:spacing w:line="440" w:lineRule="exact"/>
        <w:jc w:val="center"/>
        <w:rPr>
          <w:rFonts w:eastAsia="方正小标宋简体"/>
          <w:color w:val="000000"/>
          <w:sz w:val="32"/>
          <w:szCs w:val="32"/>
        </w:rPr>
      </w:pPr>
      <w:r>
        <w:rPr>
          <w:rFonts w:hint="eastAsia" w:eastAsia="方正小标宋简体"/>
          <w:color w:val="000000"/>
          <w:sz w:val="32"/>
          <w:szCs w:val="32"/>
          <w:lang w:val="en-US" w:eastAsia="zh-CN"/>
        </w:rPr>
        <w:t>新乡市复肥</w:t>
      </w:r>
      <w:r>
        <w:rPr>
          <w:rFonts w:eastAsia="方正小标宋简体"/>
          <w:color w:val="000000"/>
          <w:sz w:val="32"/>
          <w:szCs w:val="32"/>
        </w:rPr>
        <w:t>产品质量监督抽查实施细则</w:t>
      </w:r>
    </w:p>
    <w:p w14:paraId="4B78B190">
      <w:pPr>
        <w:snapToGrid w:val="0"/>
        <w:spacing w:line="440" w:lineRule="exact"/>
        <w:jc w:val="center"/>
        <w:rPr>
          <w:rFonts w:eastAsia="方正小标宋简体"/>
          <w:color w:val="000000"/>
          <w:sz w:val="32"/>
          <w:szCs w:val="32"/>
        </w:rPr>
      </w:pPr>
      <w:r>
        <w:rPr>
          <w:rFonts w:eastAsia="方正小标宋简体"/>
          <w:color w:val="000000"/>
          <w:sz w:val="32"/>
          <w:szCs w:val="32"/>
        </w:rPr>
        <w:t>（202</w:t>
      </w:r>
      <w:r>
        <w:rPr>
          <w:rFonts w:hint="eastAsia" w:eastAsia="方正小标宋简体"/>
          <w:color w:val="000000"/>
          <w:sz w:val="32"/>
          <w:szCs w:val="32"/>
          <w:lang w:val="en-US" w:eastAsia="zh-CN"/>
        </w:rPr>
        <w:t>6</w:t>
      </w:r>
      <w:r>
        <w:rPr>
          <w:rFonts w:eastAsia="方正小标宋简体"/>
          <w:color w:val="000000"/>
          <w:sz w:val="32"/>
          <w:szCs w:val="32"/>
        </w:rPr>
        <w:t>年版）</w:t>
      </w:r>
    </w:p>
    <w:p w14:paraId="3BA5B9DB">
      <w:pPr>
        <w:snapToGrid w:val="0"/>
        <w:spacing w:line="440" w:lineRule="exact"/>
        <w:ind w:firstLine="359" w:firstLineChars="171"/>
        <w:rPr>
          <w:color w:val="000000"/>
          <w:szCs w:val="21"/>
        </w:rPr>
      </w:pPr>
      <w:bookmarkStart w:id="0" w:name="_GoBack"/>
      <w:bookmarkEnd w:id="0"/>
    </w:p>
    <w:p w14:paraId="34E8C3DD">
      <w:pPr>
        <w:snapToGrid w:val="0"/>
        <w:spacing w:line="440" w:lineRule="exact"/>
        <w:rPr>
          <w:rFonts w:eastAsia="黑体"/>
          <w:color w:val="000000"/>
          <w:szCs w:val="21"/>
        </w:rPr>
      </w:pPr>
      <w:r>
        <w:rPr>
          <w:rFonts w:eastAsia="黑体"/>
          <w:color w:val="000000"/>
          <w:szCs w:val="21"/>
        </w:rPr>
        <w:t>1 抽样方法</w:t>
      </w:r>
    </w:p>
    <w:p w14:paraId="705EA82E">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14:paraId="7E4F30B5">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14:paraId="544D1FCD">
      <w:pPr>
        <w:snapToGrid w:val="0"/>
        <w:spacing w:line="440" w:lineRule="exact"/>
        <w:rPr>
          <w:color w:val="000000"/>
          <w:szCs w:val="21"/>
        </w:rPr>
      </w:pPr>
      <w:r>
        <w:rPr>
          <w:rFonts w:hint="default" w:ascii="Times New Roman" w:hAnsi="Times New Roman" w:cs="Times New Roman"/>
          <w:color w:val="000000"/>
          <w:szCs w:val="21"/>
        </w:rPr>
        <w:t>将样品缩分至约1kg，再缩分成两份，分装于2个洁净、干燥的塑料瓶中。1瓶作为检验样品，另1瓶作为备用样品。</w:t>
      </w:r>
    </w:p>
    <w:p w14:paraId="7302F9AA">
      <w:pPr>
        <w:snapToGrid w:val="0"/>
        <w:spacing w:line="440" w:lineRule="exact"/>
        <w:rPr>
          <w:rFonts w:eastAsia="黑体"/>
          <w:color w:val="000000"/>
          <w:szCs w:val="21"/>
        </w:rPr>
      </w:pPr>
      <w:r>
        <w:rPr>
          <w:rFonts w:eastAsia="黑体"/>
          <w:color w:val="000000"/>
          <w:szCs w:val="21"/>
        </w:rPr>
        <w:t>2 检验依据</w:t>
      </w:r>
    </w:p>
    <w:p w14:paraId="2A30A6D1">
      <w:pPr>
        <w:snapToGrid w:val="0"/>
        <w:spacing w:line="440" w:lineRule="exact"/>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表1复合肥料</w:t>
      </w:r>
    </w:p>
    <w:tbl>
      <w:tblPr>
        <w:tblStyle w:val="8"/>
        <w:tblW w:w="8808"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124"/>
        <w:gridCol w:w="4423"/>
        <w:gridCol w:w="3261"/>
      </w:tblGrid>
      <w:tr w14:paraId="67287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98" w:hRule="atLeast"/>
          <w:tblHeader/>
        </w:trPr>
        <w:tc>
          <w:tcPr>
            <w:tcW w:w="1124" w:type="dxa"/>
            <w:shd w:val="clear" w:color="auto" w:fill="FFFFFF"/>
            <w:noWrap/>
            <w:vAlign w:val="center"/>
          </w:tcPr>
          <w:p w14:paraId="74D9AEA5">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序号</w:t>
            </w:r>
          </w:p>
        </w:tc>
        <w:tc>
          <w:tcPr>
            <w:tcW w:w="4423" w:type="dxa"/>
            <w:shd w:val="clear" w:color="auto" w:fill="FFFFFF"/>
            <w:noWrap/>
            <w:vAlign w:val="center"/>
          </w:tcPr>
          <w:p w14:paraId="19F8991F">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检验项目</w:t>
            </w:r>
          </w:p>
        </w:tc>
        <w:tc>
          <w:tcPr>
            <w:tcW w:w="3261" w:type="dxa"/>
            <w:shd w:val="clear" w:color="auto" w:fill="FFFFFF"/>
            <w:noWrap w:val="0"/>
            <w:vAlign w:val="center"/>
          </w:tcPr>
          <w:p w14:paraId="5E3F1D25">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检验方法</w:t>
            </w:r>
          </w:p>
        </w:tc>
      </w:tr>
      <w:tr w14:paraId="3D1B6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4" w:hRule="atLeast"/>
        </w:trPr>
        <w:tc>
          <w:tcPr>
            <w:tcW w:w="1124" w:type="dxa"/>
            <w:shd w:val="clear" w:color="auto" w:fill="FFFFFF"/>
            <w:noWrap/>
            <w:vAlign w:val="center"/>
          </w:tcPr>
          <w:p w14:paraId="4FCC1311">
            <w:pPr>
              <w:pStyle w:val="19"/>
              <w:widowControl/>
              <w:numPr>
                <w:ilvl w:val="0"/>
                <w:numId w:val="1"/>
              </w:numPr>
              <w:spacing w:line="300" w:lineRule="exact"/>
              <w:ind w:firstLineChars="0"/>
              <w:jc w:val="center"/>
              <w:rPr>
                <w:rFonts w:hint="default" w:ascii="Times New Roman" w:hAnsi="Times New Roman" w:eastAsia="宋体" w:cs="Times New Roman"/>
                <w:color w:val="000000"/>
                <w:kern w:val="0"/>
                <w:szCs w:val="21"/>
              </w:rPr>
            </w:pPr>
          </w:p>
        </w:tc>
        <w:tc>
          <w:tcPr>
            <w:tcW w:w="4423" w:type="dxa"/>
            <w:shd w:val="clear" w:color="auto" w:fill="FFFFFF"/>
            <w:noWrap/>
            <w:vAlign w:val="center"/>
          </w:tcPr>
          <w:p w14:paraId="7A6B503A">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总氮（N）</w:t>
            </w:r>
          </w:p>
        </w:tc>
        <w:tc>
          <w:tcPr>
            <w:tcW w:w="3261" w:type="dxa"/>
            <w:shd w:val="clear" w:color="auto" w:fill="FFFFFF"/>
            <w:noWrap w:val="0"/>
            <w:vAlign w:val="center"/>
          </w:tcPr>
          <w:p w14:paraId="2158264F">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8572</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2010</w:t>
            </w:r>
          </w:p>
        </w:tc>
      </w:tr>
      <w:tr w14:paraId="751B7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0B0E4274">
            <w:pPr>
              <w:pStyle w:val="19"/>
              <w:widowControl/>
              <w:numPr>
                <w:ilvl w:val="0"/>
                <w:numId w:val="1"/>
              </w:numPr>
              <w:spacing w:line="300" w:lineRule="exact"/>
              <w:ind w:firstLineChars="0"/>
              <w:jc w:val="center"/>
              <w:rPr>
                <w:rFonts w:hint="default" w:ascii="Times New Roman" w:hAnsi="Times New Roman" w:eastAsia="宋体" w:cs="Times New Roman"/>
                <w:color w:val="000000"/>
                <w:kern w:val="0"/>
                <w:szCs w:val="21"/>
              </w:rPr>
            </w:pPr>
          </w:p>
        </w:tc>
        <w:tc>
          <w:tcPr>
            <w:tcW w:w="4423" w:type="dxa"/>
            <w:shd w:val="clear" w:color="auto" w:fill="FFFFFF"/>
            <w:noWrap/>
            <w:vAlign w:val="center"/>
          </w:tcPr>
          <w:p w14:paraId="30C73D66">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有效磷（P</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r>
              <w:rPr>
                <w:rFonts w:hint="default" w:ascii="Times New Roman" w:hAnsi="Times New Roman" w:cs="Times New Roman"/>
                <w:color w:val="000000"/>
                <w:kern w:val="0"/>
                <w:szCs w:val="21"/>
                <w:vertAlign w:val="subscript"/>
              </w:rPr>
              <w:t>5</w:t>
            </w:r>
            <w:r>
              <w:rPr>
                <w:rFonts w:hint="default" w:ascii="Times New Roman" w:hAnsi="Times New Roman" w:cs="Times New Roman"/>
                <w:color w:val="000000"/>
                <w:kern w:val="0"/>
                <w:szCs w:val="21"/>
              </w:rPr>
              <w:t>）</w:t>
            </w:r>
          </w:p>
        </w:tc>
        <w:tc>
          <w:tcPr>
            <w:tcW w:w="3261" w:type="dxa"/>
            <w:shd w:val="clear" w:color="auto" w:fill="FFFFFF"/>
            <w:noWrap w:val="0"/>
            <w:vAlign w:val="center"/>
          </w:tcPr>
          <w:p w14:paraId="4E166F5F">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15063</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2020</w:t>
            </w:r>
          </w:p>
        </w:tc>
      </w:tr>
      <w:tr w14:paraId="75DE5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44A5922A">
            <w:pPr>
              <w:pStyle w:val="19"/>
              <w:widowControl/>
              <w:numPr>
                <w:ilvl w:val="0"/>
                <w:numId w:val="1"/>
              </w:numPr>
              <w:spacing w:line="300" w:lineRule="exact"/>
              <w:ind w:firstLineChars="0"/>
              <w:jc w:val="center"/>
              <w:rPr>
                <w:rFonts w:hint="default" w:ascii="Times New Roman" w:hAnsi="Times New Roman" w:eastAsia="宋体" w:cs="Times New Roman"/>
                <w:color w:val="000000"/>
                <w:kern w:val="0"/>
                <w:szCs w:val="21"/>
              </w:rPr>
            </w:pPr>
          </w:p>
        </w:tc>
        <w:tc>
          <w:tcPr>
            <w:tcW w:w="4423" w:type="dxa"/>
            <w:shd w:val="clear" w:color="auto" w:fill="FFFFFF"/>
            <w:noWrap/>
            <w:vAlign w:val="center"/>
          </w:tcPr>
          <w:p w14:paraId="335BF98C">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氧化钾（K</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p>
        </w:tc>
        <w:tc>
          <w:tcPr>
            <w:tcW w:w="3261" w:type="dxa"/>
            <w:shd w:val="clear" w:color="auto" w:fill="FFFFFF"/>
            <w:noWrap w:val="0"/>
            <w:vAlign w:val="center"/>
          </w:tcPr>
          <w:p w14:paraId="51E9D69A">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8574</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2024</w:t>
            </w:r>
          </w:p>
        </w:tc>
      </w:tr>
      <w:tr w14:paraId="6C6D9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6650DD58">
            <w:pPr>
              <w:pStyle w:val="19"/>
              <w:widowControl/>
              <w:numPr>
                <w:ilvl w:val="0"/>
                <w:numId w:val="1"/>
              </w:numPr>
              <w:spacing w:line="300" w:lineRule="exact"/>
              <w:ind w:firstLineChars="0"/>
              <w:jc w:val="center"/>
              <w:rPr>
                <w:rFonts w:hint="default" w:ascii="Times New Roman" w:hAnsi="Times New Roman" w:eastAsia="宋体" w:cs="Times New Roman"/>
                <w:color w:val="000000"/>
                <w:kern w:val="0"/>
                <w:szCs w:val="21"/>
              </w:rPr>
            </w:pPr>
          </w:p>
        </w:tc>
        <w:tc>
          <w:tcPr>
            <w:tcW w:w="4423" w:type="dxa"/>
            <w:shd w:val="clear" w:color="auto" w:fill="FFFFFF"/>
            <w:noWrap/>
            <w:vAlign w:val="center"/>
          </w:tcPr>
          <w:p w14:paraId="5989D97A">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总养分（N+P</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r>
              <w:rPr>
                <w:rFonts w:hint="default" w:ascii="Times New Roman" w:hAnsi="Times New Roman" w:cs="Times New Roman"/>
                <w:color w:val="000000"/>
                <w:kern w:val="0"/>
                <w:szCs w:val="21"/>
                <w:vertAlign w:val="subscript"/>
              </w:rPr>
              <w:t>5</w:t>
            </w:r>
            <w:r>
              <w:rPr>
                <w:rFonts w:hint="default" w:ascii="Times New Roman" w:hAnsi="Times New Roman" w:cs="Times New Roman"/>
                <w:color w:val="000000"/>
                <w:kern w:val="0"/>
                <w:szCs w:val="21"/>
              </w:rPr>
              <w:t>+K</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p>
        </w:tc>
        <w:tc>
          <w:tcPr>
            <w:tcW w:w="3261" w:type="dxa"/>
            <w:shd w:val="clear" w:color="auto" w:fill="FFFFFF"/>
            <w:noWrap w:val="0"/>
            <w:vAlign w:val="center"/>
          </w:tcPr>
          <w:p w14:paraId="18341E51">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15063</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2020</w:t>
            </w:r>
          </w:p>
        </w:tc>
      </w:tr>
      <w:tr w14:paraId="6C5AB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5182FACA">
            <w:pPr>
              <w:pStyle w:val="19"/>
              <w:widowControl/>
              <w:numPr>
                <w:ilvl w:val="0"/>
                <w:numId w:val="1"/>
              </w:numPr>
              <w:spacing w:line="300" w:lineRule="exact"/>
              <w:ind w:firstLineChars="0"/>
              <w:jc w:val="center"/>
              <w:rPr>
                <w:rFonts w:hint="default" w:ascii="Times New Roman" w:hAnsi="Times New Roman" w:eastAsia="宋体" w:cs="Times New Roman"/>
                <w:color w:val="000000"/>
                <w:kern w:val="0"/>
                <w:szCs w:val="21"/>
              </w:rPr>
            </w:pPr>
          </w:p>
        </w:tc>
        <w:tc>
          <w:tcPr>
            <w:tcW w:w="4423" w:type="dxa"/>
            <w:shd w:val="clear" w:color="auto" w:fill="FFFFFF"/>
            <w:noWrap/>
            <w:vAlign w:val="center"/>
          </w:tcPr>
          <w:p w14:paraId="0EC534EB">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水溶性磷占有效磷百分率</w:t>
            </w:r>
          </w:p>
        </w:tc>
        <w:tc>
          <w:tcPr>
            <w:tcW w:w="3261" w:type="dxa"/>
            <w:shd w:val="clear" w:color="auto" w:fill="FFFFFF"/>
            <w:noWrap w:val="0"/>
            <w:vAlign w:val="center"/>
          </w:tcPr>
          <w:p w14:paraId="4D805960">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15063</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2020</w:t>
            </w:r>
          </w:p>
        </w:tc>
      </w:tr>
      <w:tr w14:paraId="1F11D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4BB666FE">
            <w:pPr>
              <w:pStyle w:val="19"/>
              <w:widowControl/>
              <w:numPr>
                <w:ilvl w:val="0"/>
                <w:numId w:val="1"/>
              </w:numPr>
              <w:spacing w:line="300" w:lineRule="exact"/>
              <w:ind w:firstLineChars="0"/>
              <w:jc w:val="center"/>
              <w:rPr>
                <w:rFonts w:hint="default" w:ascii="Times New Roman" w:hAnsi="Times New Roman" w:eastAsia="宋体" w:cs="Times New Roman"/>
                <w:color w:val="000000"/>
                <w:kern w:val="0"/>
                <w:szCs w:val="21"/>
              </w:rPr>
            </w:pPr>
          </w:p>
        </w:tc>
        <w:tc>
          <w:tcPr>
            <w:tcW w:w="4423" w:type="dxa"/>
            <w:shd w:val="clear" w:color="auto" w:fill="FFFFFF"/>
            <w:noWrap/>
            <w:vAlign w:val="center"/>
          </w:tcPr>
          <w:p w14:paraId="099FA078">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硝态氮</w:t>
            </w:r>
          </w:p>
        </w:tc>
        <w:tc>
          <w:tcPr>
            <w:tcW w:w="3261" w:type="dxa"/>
            <w:shd w:val="clear" w:color="auto" w:fill="FFFFFF"/>
            <w:noWrap w:val="0"/>
            <w:vAlign w:val="center"/>
          </w:tcPr>
          <w:p w14:paraId="3C4BEB8C">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3597</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2002</w:t>
            </w:r>
          </w:p>
        </w:tc>
      </w:tr>
      <w:tr w14:paraId="6CF95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505F5CB3">
            <w:pPr>
              <w:pStyle w:val="19"/>
              <w:widowControl/>
              <w:numPr>
                <w:ilvl w:val="0"/>
                <w:numId w:val="1"/>
              </w:numPr>
              <w:spacing w:line="300" w:lineRule="exact"/>
              <w:ind w:firstLineChars="0"/>
              <w:jc w:val="center"/>
              <w:rPr>
                <w:rFonts w:hint="default" w:ascii="Times New Roman" w:hAnsi="Times New Roman" w:eastAsia="宋体" w:cs="Times New Roman"/>
                <w:color w:val="000000"/>
                <w:kern w:val="0"/>
                <w:szCs w:val="21"/>
              </w:rPr>
            </w:pPr>
          </w:p>
        </w:tc>
        <w:tc>
          <w:tcPr>
            <w:tcW w:w="4423" w:type="dxa"/>
            <w:shd w:val="clear" w:color="auto" w:fill="FFFFFF"/>
            <w:noWrap/>
            <w:vAlign w:val="center"/>
          </w:tcPr>
          <w:p w14:paraId="53BDA5BD">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粒度（1.00mm~4.75mm或3.35mm~5.60mm）</w:t>
            </w:r>
          </w:p>
        </w:tc>
        <w:tc>
          <w:tcPr>
            <w:tcW w:w="3261" w:type="dxa"/>
            <w:shd w:val="clear" w:color="auto" w:fill="FFFFFF"/>
            <w:noWrap w:val="0"/>
            <w:vAlign w:val="center"/>
          </w:tcPr>
          <w:p w14:paraId="3833BFAD">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24891</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2010</w:t>
            </w:r>
          </w:p>
        </w:tc>
      </w:tr>
      <w:tr w14:paraId="0F266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1728015F">
            <w:pPr>
              <w:pStyle w:val="19"/>
              <w:widowControl/>
              <w:numPr>
                <w:ilvl w:val="0"/>
                <w:numId w:val="1"/>
              </w:numPr>
              <w:spacing w:line="300" w:lineRule="exact"/>
              <w:ind w:firstLineChars="0"/>
              <w:jc w:val="center"/>
              <w:rPr>
                <w:rFonts w:hint="default" w:ascii="Times New Roman" w:hAnsi="Times New Roman" w:eastAsia="宋体" w:cs="Times New Roman"/>
                <w:color w:val="000000"/>
                <w:kern w:val="0"/>
                <w:szCs w:val="21"/>
              </w:rPr>
            </w:pPr>
          </w:p>
        </w:tc>
        <w:tc>
          <w:tcPr>
            <w:tcW w:w="4423" w:type="dxa"/>
            <w:shd w:val="clear" w:color="auto" w:fill="FFFFFF"/>
            <w:noWrap/>
            <w:vAlign w:val="center"/>
          </w:tcPr>
          <w:p w14:paraId="4D67A5B6">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氯离子</w:t>
            </w:r>
          </w:p>
        </w:tc>
        <w:tc>
          <w:tcPr>
            <w:tcW w:w="3261" w:type="dxa"/>
            <w:shd w:val="clear" w:color="auto" w:fill="FFFFFF"/>
            <w:noWrap w:val="0"/>
            <w:vAlign w:val="center"/>
          </w:tcPr>
          <w:p w14:paraId="731D1EFA">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24890</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2010</w:t>
            </w:r>
          </w:p>
        </w:tc>
      </w:tr>
      <w:tr w14:paraId="3785D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4208BC19">
            <w:pPr>
              <w:pStyle w:val="19"/>
              <w:widowControl/>
              <w:numPr>
                <w:ilvl w:val="0"/>
                <w:numId w:val="1"/>
              </w:numPr>
              <w:spacing w:line="300" w:lineRule="exact"/>
              <w:ind w:firstLineChars="0"/>
              <w:jc w:val="center"/>
              <w:rPr>
                <w:rFonts w:hint="default" w:ascii="Times New Roman" w:hAnsi="Times New Roman" w:eastAsia="宋体" w:cs="Times New Roman"/>
                <w:color w:val="000000"/>
                <w:kern w:val="0"/>
                <w:szCs w:val="21"/>
              </w:rPr>
            </w:pPr>
          </w:p>
        </w:tc>
        <w:tc>
          <w:tcPr>
            <w:tcW w:w="4423" w:type="dxa"/>
            <w:shd w:val="clear" w:color="auto" w:fill="FFFFFF"/>
            <w:noWrap/>
            <w:vAlign w:val="center"/>
          </w:tcPr>
          <w:p w14:paraId="40EDD6A3">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总砷</w:t>
            </w:r>
          </w:p>
        </w:tc>
        <w:tc>
          <w:tcPr>
            <w:tcW w:w="3261" w:type="dxa"/>
            <w:shd w:val="clear" w:color="auto" w:fill="FFFFFF"/>
            <w:noWrap w:val="0"/>
            <w:vAlign w:val="center"/>
          </w:tcPr>
          <w:p w14:paraId="666F97B8">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23349</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2020</w:t>
            </w:r>
          </w:p>
        </w:tc>
      </w:tr>
      <w:tr w14:paraId="708C6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29173F15">
            <w:pPr>
              <w:pStyle w:val="19"/>
              <w:widowControl/>
              <w:numPr>
                <w:ilvl w:val="0"/>
                <w:numId w:val="1"/>
              </w:numPr>
              <w:spacing w:line="300" w:lineRule="exact"/>
              <w:ind w:firstLineChars="0"/>
              <w:jc w:val="center"/>
              <w:rPr>
                <w:rFonts w:hint="default" w:ascii="Times New Roman" w:hAnsi="Times New Roman" w:eastAsia="宋体" w:cs="Times New Roman"/>
                <w:color w:val="000000"/>
                <w:kern w:val="0"/>
                <w:szCs w:val="21"/>
              </w:rPr>
            </w:pPr>
          </w:p>
        </w:tc>
        <w:tc>
          <w:tcPr>
            <w:tcW w:w="4423" w:type="dxa"/>
            <w:shd w:val="clear" w:color="auto" w:fill="FFFFFF"/>
            <w:noWrap/>
            <w:vAlign w:val="center"/>
          </w:tcPr>
          <w:p w14:paraId="35A0A5AB">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总镉</w:t>
            </w:r>
          </w:p>
        </w:tc>
        <w:tc>
          <w:tcPr>
            <w:tcW w:w="3261" w:type="dxa"/>
            <w:shd w:val="clear" w:color="auto" w:fill="FFFFFF"/>
            <w:noWrap w:val="0"/>
            <w:vAlign w:val="center"/>
          </w:tcPr>
          <w:p w14:paraId="651E94FA">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23349</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2020</w:t>
            </w:r>
          </w:p>
        </w:tc>
      </w:tr>
      <w:tr w14:paraId="05445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0D35642D">
            <w:pPr>
              <w:pStyle w:val="19"/>
              <w:widowControl/>
              <w:numPr>
                <w:ilvl w:val="0"/>
                <w:numId w:val="1"/>
              </w:numPr>
              <w:spacing w:line="300" w:lineRule="exact"/>
              <w:ind w:firstLineChars="0"/>
              <w:jc w:val="center"/>
              <w:rPr>
                <w:rFonts w:hint="default" w:ascii="Times New Roman" w:hAnsi="Times New Roman" w:eastAsia="宋体" w:cs="Times New Roman"/>
                <w:color w:val="000000"/>
                <w:kern w:val="0"/>
                <w:szCs w:val="21"/>
              </w:rPr>
            </w:pPr>
          </w:p>
        </w:tc>
        <w:tc>
          <w:tcPr>
            <w:tcW w:w="4423" w:type="dxa"/>
            <w:shd w:val="clear" w:color="auto" w:fill="FFFFFF"/>
            <w:noWrap/>
            <w:vAlign w:val="center"/>
          </w:tcPr>
          <w:p w14:paraId="381B135E">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总铅</w:t>
            </w:r>
          </w:p>
        </w:tc>
        <w:tc>
          <w:tcPr>
            <w:tcW w:w="3261" w:type="dxa"/>
            <w:shd w:val="clear" w:color="auto" w:fill="FFFFFF"/>
            <w:noWrap w:val="0"/>
            <w:vAlign w:val="center"/>
          </w:tcPr>
          <w:p w14:paraId="291D0B0F">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23349</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2020</w:t>
            </w:r>
          </w:p>
        </w:tc>
      </w:tr>
      <w:tr w14:paraId="2077A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00A1E123">
            <w:pPr>
              <w:pStyle w:val="19"/>
              <w:widowControl/>
              <w:numPr>
                <w:ilvl w:val="0"/>
                <w:numId w:val="1"/>
              </w:numPr>
              <w:spacing w:line="300" w:lineRule="exact"/>
              <w:ind w:firstLineChars="0"/>
              <w:jc w:val="center"/>
              <w:rPr>
                <w:rFonts w:hint="default" w:ascii="Times New Roman" w:hAnsi="Times New Roman" w:eastAsia="宋体" w:cs="Times New Roman"/>
                <w:color w:val="000000"/>
                <w:kern w:val="0"/>
                <w:szCs w:val="21"/>
              </w:rPr>
            </w:pPr>
          </w:p>
        </w:tc>
        <w:tc>
          <w:tcPr>
            <w:tcW w:w="4423" w:type="dxa"/>
            <w:shd w:val="clear" w:color="auto" w:fill="FFFFFF"/>
            <w:noWrap/>
            <w:vAlign w:val="center"/>
          </w:tcPr>
          <w:p w14:paraId="606A8B22">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总铬</w:t>
            </w:r>
          </w:p>
        </w:tc>
        <w:tc>
          <w:tcPr>
            <w:tcW w:w="3261" w:type="dxa"/>
            <w:shd w:val="clear" w:color="auto" w:fill="FFFFFF"/>
            <w:noWrap w:val="0"/>
            <w:vAlign w:val="center"/>
          </w:tcPr>
          <w:p w14:paraId="0A924660">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23349</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2020</w:t>
            </w:r>
          </w:p>
        </w:tc>
      </w:tr>
      <w:tr w14:paraId="2694F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74689282">
            <w:pPr>
              <w:pStyle w:val="19"/>
              <w:widowControl/>
              <w:numPr>
                <w:ilvl w:val="0"/>
                <w:numId w:val="1"/>
              </w:numPr>
              <w:spacing w:line="300" w:lineRule="exact"/>
              <w:ind w:firstLineChars="0"/>
              <w:jc w:val="center"/>
              <w:rPr>
                <w:rFonts w:hint="default" w:ascii="Times New Roman" w:hAnsi="Times New Roman" w:eastAsia="宋体" w:cs="Times New Roman"/>
                <w:color w:val="000000"/>
                <w:kern w:val="0"/>
                <w:szCs w:val="21"/>
              </w:rPr>
            </w:pPr>
          </w:p>
        </w:tc>
        <w:tc>
          <w:tcPr>
            <w:tcW w:w="4423" w:type="dxa"/>
            <w:shd w:val="clear" w:color="auto" w:fill="FFFFFF"/>
            <w:noWrap/>
            <w:vAlign w:val="center"/>
          </w:tcPr>
          <w:p w14:paraId="50650979">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总汞</w:t>
            </w:r>
          </w:p>
        </w:tc>
        <w:tc>
          <w:tcPr>
            <w:tcW w:w="3261" w:type="dxa"/>
            <w:shd w:val="clear" w:color="auto" w:fill="FFFFFF"/>
            <w:noWrap w:val="0"/>
            <w:vAlign w:val="center"/>
          </w:tcPr>
          <w:p w14:paraId="2DAA63B2">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23349</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2020</w:t>
            </w:r>
          </w:p>
        </w:tc>
      </w:tr>
      <w:tr w14:paraId="197DC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FFFFFF"/>
            <w:noWrap/>
            <w:vAlign w:val="center"/>
          </w:tcPr>
          <w:p w14:paraId="2F5AD1ED">
            <w:pPr>
              <w:pStyle w:val="19"/>
              <w:widowControl/>
              <w:numPr>
                <w:ilvl w:val="0"/>
                <w:numId w:val="1"/>
              </w:numPr>
              <w:spacing w:line="300" w:lineRule="exact"/>
              <w:ind w:firstLineChars="0"/>
              <w:jc w:val="center"/>
              <w:rPr>
                <w:rFonts w:hint="default" w:ascii="Times New Roman" w:hAnsi="Times New Roman" w:eastAsia="宋体" w:cs="Times New Roman"/>
                <w:color w:val="000000"/>
                <w:kern w:val="0"/>
                <w:szCs w:val="21"/>
              </w:rPr>
            </w:pPr>
          </w:p>
        </w:tc>
        <w:tc>
          <w:tcPr>
            <w:tcW w:w="4423" w:type="dxa"/>
            <w:shd w:val="clear" w:color="auto" w:fill="FFFFFF"/>
            <w:noWrap/>
            <w:vAlign w:val="center"/>
          </w:tcPr>
          <w:p w14:paraId="18572750">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总铊</w:t>
            </w:r>
          </w:p>
        </w:tc>
        <w:tc>
          <w:tcPr>
            <w:tcW w:w="3261" w:type="dxa"/>
            <w:shd w:val="clear" w:color="auto" w:fill="FFFFFF"/>
            <w:noWrap w:val="0"/>
            <w:vAlign w:val="center"/>
          </w:tcPr>
          <w:p w14:paraId="460C9165">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 38400</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2019</w:t>
            </w:r>
          </w:p>
        </w:tc>
      </w:tr>
      <w:tr w14:paraId="021C0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4" w:hRule="atLeast"/>
        </w:trPr>
        <w:tc>
          <w:tcPr>
            <w:tcW w:w="1124" w:type="dxa"/>
            <w:shd w:val="clear" w:color="auto" w:fill="FFFFFF"/>
            <w:noWrap/>
            <w:vAlign w:val="center"/>
          </w:tcPr>
          <w:p w14:paraId="237B3DC3">
            <w:pPr>
              <w:pStyle w:val="19"/>
              <w:widowControl/>
              <w:numPr>
                <w:ilvl w:val="0"/>
                <w:numId w:val="1"/>
              </w:numPr>
              <w:spacing w:line="300" w:lineRule="exact"/>
              <w:ind w:firstLineChars="0"/>
              <w:jc w:val="center"/>
              <w:rPr>
                <w:rFonts w:hint="default" w:ascii="Times New Roman" w:hAnsi="Times New Roman" w:eastAsia="宋体" w:cs="Times New Roman"/>
                <w:color w:val="000000"/>
                <w:kern w:val="0"/>
                <w:szCs w:val="21"/>
              </w:rPr>
            </w:pPr>
          </w:p>
        </w:tc>
        <w:tc>
          <w:tcPr>
            <w:tcW w:w="4423" w:type="dxa"/>
            <w:shd w:val="clear" w:color="auto" w:fill="FFFFFF"/>
            <w:noWrap/>
            <w:vAlign w:val="center"/>
          </w:tcPr>
          <w:p w14:paraId="19AD7800">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缩二脲</w:t>
            </w:r>
          </w:p>
        </w:tc>
        <w:tc>
          <w:tcPr>
            <w:tcW w:w="3261" w:type="dxa"/>
            <w:shd w:val="clear" w:color="auto" w:fill="FFFFFF"/>
            <w:noWrap w:val="0"/>
            <w:vAlign w:val="center"/>
          </w:tcPr>
          <w:p w14:paraId="2968CB9A">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22924</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2024</w:t>
            </w:r>
          </w:p>
        </w:tc>
      </w:tr>
      <w:tr w14:paraId="3575D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54" w:hRule="atLeast"/>
        </w:trPr>
        <w:tc>
          <w:tcPr>
            <w:tcW w:w="1124" w:type="dxa"/>
            <w:shd w:val="clear" w:color="auto" w:fill="FFFFFF"/>
            <w:noWrap/>
            <w:vAlign w:val="center"/>
          </w:tcPr>
          <w:p w14:paraId="3403C2EB">
            <w:pPr>
              <w:pStyle w:val="19"/>
              <w:widowControl/>
              <w:numPr>
                <w:ilvl w:val="0"/>
                <w:numId w:val="1"/>
              </w:numPr>
              <w:spacing w:line="300" w:lineRule="exact"/>
              <w:ind w:firstLineChars="0"/>
              <w:jc w:val="center"/>
              <w:rPr>
                <w:rFonts w:hint="default" w:ascii="Times New Roman" w:hAnsi="Times New Roman" w:eastAsia="宋体" w:cs="Times New Roman"/>
                <w:color w:val="000000"/>
                <w:kern w:val="0"/>
                <w:szCs w:val="21"/>
              </w:rPr>
            </w:pPr>
          </w:p>
        </w:tc>
        <w:tc>
          <w:tcPr>
            <w:tcW w:w="4423" w:type="dxa"/>
            <w:shd w:val="clear" w:color="auto" w:fill="FFFFFF"/>
            <w:noWrap/>
            <w:vAlign w:val="center"/>
          </w:tcPr>
          <w:p w14:paraId="68A86D8E">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包装标识（养分含量、含氯标识、警示语、名称中的禁用语等）</w:t>
            </w:r>
          </w:p>
        </w:tc>
        <w:tc>
          <w:tcPr>
            <w:tcW w:w="3261" w:type="dxa"/>
            <w:shd w:val="clear" w:color="auto" w:fill="FFFFFF"/>
            <w:noWrap w:val="0"/>
            <w:vAlign w:val="center"/>
          </w:tcPr>
          <w:p w14:paraId="510F12A7">
            <w:pPr>
              <w:widowControl/>
              <w:spacing w:line="300" w:lineRule="exact"/>
              <w:jc w:val="center"/>
              <w:rPr>
                <w:rFonts w:hint="default" w:ascii="Times New Roman" w:hAnsi="Times New Roman" w:cs="Times New Roman"/>
                <w:bCs/>
                <w:color w:val="000000"/>
                <w:szCs w:val="21"/>
              </w:rPr>
            </w:pPr>
            <w:r>
              <w:rPr>
                <w:rFonts w:hint="default" w:ascii="Times New Roman" w:hAnsi="Times New Roman" w:cs="Times New Roman"/>
                <w:color w:val="000000"/>
                <w:kern w:val="0"/>
                <w:szCs w:val="21"/>
              </w:rPr>
              <w:t>GB 18382</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2021</w:t>
            </w:r>
          </w:p>
          <w:p w14:paraId="49ACD76F">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15063</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2020</w:t>
            </w:r>
          </w:p>
        </w:tc>
      </w:tr>
    </w:tbl>
    <w:p w14:paraId="0E5C5098">
      <w:pPr>
        <w:snapToGrid w:val="0"/>
        <w:spacing w:line="440" w:lineRule="exact"/>
        <w:jc w:val="center"/>
        <w:rPr>
          <w:rFonts w:hint="default" w:ascii="Times New Roman" w:hAnsi="Times New Roman" w:cs="Times New Roman"/>
          <w:bCs/>
          <w:color w:val="000000"/>
          <w:szCs w:val="21"/>
        </w:rPr>
      </w:pPr>
    </w:p>
    <w:p w14:paraId="60D9A1A1">
      <w:pPr>
        <w:snapToGrid w:val="0"/>
        <w:spacing w:line="440" w:lineRule="exact"/>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表2 掺混肥料（BB肥）</w:t>
      </w:r>
    </w:p>
    <w:tbl>
      <w:tblPr>
        <w:tblStyle w:val="8"/>
        <w:tblW w:w="8808"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4"/>
        <w:gridCol w:w="4423"/>
        <w:gridCol w:w="3261"/>
      </w:tblGrid>
      <w:tr w14:paraId="0A49E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1124" w:type="dxa"/>
            <w:noWrap w:val="0"/>
            <w:vAlign w:val="center"/>
          </w:tcPr>
          <w:p w14:paraId="073018C6">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序号</w:t>
            </w:r>
          </w:p>
        </w:tc>
        <w:tc>
          <w:tcPr>
            <w:tcW w:w="4423" w:type="dxa"/>
            <w:noWrap w:val="0"/>
            <w:vAlign w:val="center"/>
          </w:tcPr>
          <w:p w14:paraId="2E87B53E">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检验项目</w:t>
            </w:r>
          </w:p>
        </w:tc>
        <w:tc>
          <w:tcPr>
            <w:tcW w:w="3261" w:type="dxa"/>
            <w:noWrap w:val="0"/>
            <w:vAlign w:val="center"/>
          </w:tcPr>
          <w:p w14:paraId="23B868C1">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检验方法</w:t>
            </w:r>
          </w:p>
        </w:tc>
      </w:tr>
      <w:tr w14:paraId="617E2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6C106622">
            <w:pPr>
              <w:pStyle w:val="19"/>
              <w:widowControl/>
              <w:numPr>
                <w:ilvl w:val="0"/>
                <w:numId w:val="2"/>
              </w:numPr>
              <w:spacing w:line="300" w:lineRule="exact"/>
              <w:ind w:firstLineChars="0"/>
              <w:jc w:val="center"/>
              <w:rPr>
                <w:rFonts w:hint="default" w:ascii="Times New Roman" w:hAnsi="Times New Roman" w:eastAsia="宋体" w:cs="Times New Roman"/>
                <w:color w:val="000000"/>
                <w:kern w:val="0"/>
                <w:szCs w:val="21"/>
              </w:rPr>
            </w:pPr>
          </w:p>
        </w:tc>
        <w:tc>
          <w:tcPr>
            <w:tcW w:w="4423" w:type="dxa"/>
            <w:noWrap w:val="0"/>
            <w:vAlign w:val="center"/>
          </w:tcPr>
          <w:p w14:paraId="6DBA7258">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总氮（N）</w:t>
            </w:r>
          </w:p>
        </w:tc>
        <w:tc>
          <w:tcPr>
            <w:tcW w:w="3261" w:type="dxa"/>
            <w:noWrap w:val="0"/>
            <w:vAlign w:val="center"/>
          </w:tcPr>
          <w:p w14:paraId="777ED0C0">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8572</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2010</w:t>
            </w:r>
          </w:p>
        </w:tc>
      </w:tr>
      <w:tr w14:paraId="5D281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3ACAE6F0">
            <w:pPr>
              <w:pStyle w:val="19"/>
              <w:widowControl/>
              <w:numPr>
                <w:ilvl w:val="0"/>
                <w:numId w:val="2"/>
              </w:numPr>
              <w:spacing w:line="300" w:lineRule="exact"/>
              <w:ind w:firstLineChars="0"/>
              <w:jc w:val="center"/>
              <w:rPr>
                <w:rFonts w:hint="default" w:ascii="Times New Roman" w:hAnsi="Times New Roman" w:eastAsia="宋体" w:cs="Times New Roman"/>
                <w:color w:val="000000"/>
                <w:kern w:val="0"/>
                <w:szCs w:val="21"/>
              </w:rPr>
            </w:pPr>
          </w:p>
        </w:tc>
        <w:tc>
          <w:tcPr>
            <w:tcW w:w="4423" w:type="dxa"/>
            <w:noWrap w:val="0"/>
            <w:vAlign w:val="center"/>
          </w:tcPr>
          <w:p w14:paraId="598F8360">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有效磷（P</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r>
              <w:rPr>
                <w:rFonts w:hint="default" w:ascii="Times New Roman" w:hAnsi="Times New Roman" w:cs="Times New Roman"/>
                <w:color w:val="000000"/>
                <w:kern w:val="0"/>
                <w:szCs w:val="21"/>
                <w:vertAlign w:val="subscript"/>
              </w:rPr>
              <w:t>5</w:t>
            </w:r>
            <w:r>
              <w:rPr>
                <w:rFonts w:hint="default" w:ascii="Times New Roman" w:hAnsi="Times New Roman" w:cs="Times New Roman"/>
                <w:color w:val="000000"/>
                <w:kern w:val="0"/>
                <w:szCs w:val="21"/>
              </w:rPr>
              <w:t>）</w:t>
            </w:r>
          </w:p>
        </w:tc>
        <w:tc>
          <w:tcPr>
            <w:tcW w:w="3261" w:type="dxa"/>
            <w:noWrap w:val="0"/>
            <w:vAlign w:val="center"/>
          </w:tcPr>
          <w:p w14:paraId="4CDBD1CB">
            <w:pPr>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15063</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2020</w:t>
            </w:r>
          </w:p>
        </w:tc>
      </w:tr>
      <w:tr w14:paraId="792FF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05793AEF">
            <w:pPr>
              <w:pStyle w:val="19"/>
              <w:widowControl/>
              <w:numPr>
                <w:ilvl w:val="0"/>
                <w:numId w:val="2"/>
              </w:numPr>
              <w:spacing w:line="300" w:lineRule="exact"/>
              <w:ind w:firstLineChars="0"/>
              <w:jc w:val="center"/>
              <w:rPr>
                <w:rFonts w:hint="default" w:ascii="Times New Roman" w:hAnsi="Times New Roman" w:eastAsia="宋体" w:cs="Times New Roman"/>
                <w:color w:val="000000"/>
                <w:kern w:val="0"/>
                <w:szCs w:val="21"/>
              </w:rPr>
            </w:pPr>
          </w:p>
        </w:tc>
        <w:tc>
          <w:tcPr>
            <w:tcW w:w="4423" w:type="dxa"/>
            <w:noWrap w:val="0"/>
            <w:vAlign w:val="center"/>
          </w:tcPr>
          <w:p w14:paraId="502AE06C">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氧化钾（K</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p>
        </w:tc>
        <w:tc>
          <w:tcPr>
            <w:tcW w:w="3261" w:type="dxa"/>
            <w:noWrap w:val="0"/>
            <w:vAlign w:val="center"/>
          </w:tcPr>
          <w:p w14:paraId="37BBB421">
            <w:pPr>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8574</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2024</w:t>
            </w:r>
          </w:p>
        </w:tc>
      </w:tr>
      <w:tr w14:paraId="0181F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0B0B319E">
            <w:pPr>
              <w:pStyle w:val="19"/>
              <w:widowControl/>
              <w:numPr>
                <w:ilvl w:val="0"/>
                <w:numId w:val="2"/>
              </w:numPr>
              <w:spacing w:line="300" w:lineRule="exact"/>
              <w:ind w:firstLineChars="0"/>
              <w:jc w:val="center"/>
              <w:rPr>
                <w:rFonts w:hint="default" w:ascii="Times New Roman" w:hAnsi="Times New Roman" w:eastAsia="宋体" w:cs="Times New Roman"/>
                <w:color w:val="000000"/>
                <w:kern w:val="0"/>
                <w:szCs w:val="21"/>
              </w:rPr>
            </w:pPr>
          </w:p>
        </w:tc>
        <w:tc>
          <w:tcPr>
            <w:tcW w:w="4423" w:type="dxa"/>
            <w:noWrap/>
            <w:vAlign w:val="center"/>
          </w:tcPr>
          <w:p w14:paraId="14A15EEE">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总养分（N+P</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r>
              <w:rPr>
                <w:rFonts w:hint="default" w:ascii="Times New Roman" w:hAnsi="Times New Roman" w:cs="Times New Roman"/>
                <w:color w:val="000000"/>
                <w:kern w:val="0"/>
                <w:szCs w:val="21"/>
                <w:vertAlign w:val="subscript"/>
              </w:rPr>
              <w:t>5</w:t>
            </w:r>
            <w:r>
              <w:rPr>
                <w:rFonts w:hint="default" w:ascii="Times New Roman" w:hAnsi="Times New Roman" w:cs="Times New Roman"/>
                <w:color w:val="000000"/>
                <w:kern w:val="0"/>
                <w:szCs w:val="21"/>
              </w:rPr>
              <w:t>+K</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p>
        </w:tc>
        <w:tc>
          <w:tcPr>
            <w:tcW w:w="3261" w:type="dxa"/>
            <w:noWrap w:val="0"/>
            <w:vAlign w:val="center"/>
          </w:tcPr>
          <w:p w14:paraId="5CD91728">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21633</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2020</w:t>
            </w:r>
          </w:p>
        </w:tc>
      </w:tr>
      <w:tr w14:paraId="71A60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64AA83F9">
            <w:pPr>
              <w:pStyle w:val="19"/>
              <w:widowControl/>
              <w:numPr>
                <w:ilvl w:val="0"/>
                <w:numId w:val="2"/>
              </w:numPr>
              <w:spacing w:line="300" w:lineRule="exact"/>
              <w:ind w:firstLineChars="0"/>
              <w:jc w:val="center"/>
              <w:rPr>
                <w:rFonts w:hint="default" w:ascii="Times New Roman" w:hAnsi="Times New Roman" w:eastAsia="宋体" w:cs="Times New Roman"/>
                <w:color w:val="000000"/>
                <w:kern w:val="0"/>
                <w:szCs w:val="21"/>
              </w:rPr>
            </w:pPr>
          </w:p>
        </w:tc>
        <w:tc>
          <w:tcPr>
            <w:tcW w:w="4423" w:type="dxa"/>
            <w:noWrap w:val="0"/>
            <w:vAlign w:val="center"/>
          </w:tcPr>
          <w:p w14:paraId="489A309B">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水溶性磷占有效磷的百分率</w:t>
            </w:r>
          </w:p>
        </w:tc>
        <w:tc>
          <w:tcPr>
            <w:tcW w:w="3261" w:type="dxa"/>
            <w:noWrap w:val="0"/>
            <w:vAlign w:val="center"/>
          </w:tcPr>
          <w:p w14:paraId="299D8D71">
            <w:pPr>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15063</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2020</w:t>
            </w:r>
          </w:p>
        </w:tc>
      </w:tr>
      <w:tr w14:paraId="48B39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6D34AF3D">
            <w:pPr>
              <w:pStyle w:val="19"/>
              <w:widowControl/>
              <w:numPr>
                <w:ilvl w:val="0"/>
                <w:numId w:val="2"/>
              </w:numPr>
              <w:spacing w:line="300" w:lineRule="exact"/>
              <w:ind w:firstLineChars="0"/>
              <w:jc w:val="center"/>
              <w:rPr>
                <w:rFonts w:hint="default" w:ascii="Times New Roman" w:hAnsi="Times New Roman" w:eastAsia="宋体" w:cs="Times New Roman"/>
                <w:color w:val="000000"/>
                <w:kern w:val="0"/>
                <w:szCs w:val="21"/>
              </w:rPr>
            </w:pPr>
          </w:p>
        </w:tc>
        <w:tc>
          <w:tcPr>
            <w:tcW w:w="4423" w:type="dxa"/>
            <w:noWrap w:val="0"/>
            <w:vAlign w:val="center"/>
          </w:tcPr>
          <w:p w14:paraId="000F83A7">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粒度（2.00mm~4.75mm）</w:t>
            </w:r>
          </w:p>
        </w:tc>
        <w:tc>
          <w:tcPr>
            <w:tcW w:w="3261" w:type="dxa"/>
            <w:noWrap w:val="0"/>
            <w:vAlign w:val="center"/>
          </w:tcPr>
          <w:p w14:paraId="083DFB25">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24891</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2010</w:t>
            </w:r>
          </w:p>
        </w:tc>
      </w:tr>
      <w:tr w14:paraId="1FE8F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3114B56E">
            <w:pPr>
              <w:pStyle w:val="19"/>
              <w:widowControl/>
              <w:numPr>
                <w:ilvl w:val="0"/>
                <w:numId w:val="2"/>
              </w:numPr>
              <w:spacing w:line="300" w:lineRule="exact"/>
              <w:ind w:firstLineChars="0"/>
              <w:jc w:val="center"/>
              <w:rPr>
                <w:rFonts w:hint="default" w:ascii="Times New Roman" w:hAnsi="Times New Roman" w:eastAsia="宋体" w:cs="Times New Roman"/>
                <w:color w:val="000000"/>
                <w:kern w:val="0"/>
                <w:szCs w:val="21"/>
              </w:rPr>
            </w:pPr>
          </w:p>
        </w:tc>
        <w:tc>
          <w:tcPr>
            <w:tcW w:w="4423" w:type="dxa"/>
            <w:noWrap w:val="0"/>
            <w:vAlign w:val="center"/>
          </w:tcPr>
          <w:p w14:paraId="076D39AD">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氯离子</w:t>
            </w:r>
          </w:p>
        </w:tc>
        <w:tc>
          <w:tcPr>
            <w:tcW w:w="3261" w:type="dxa"/>
            <w:noWrap w:val="0"/>
            <w:vAlign w:val="center"/>
          </w:tcPr>
          <w:p w14:paraId="77F2A60A">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24890</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2010</w:t>
            </w:r>
          </w:p>
        </w:tc>
      </w:tr>
      <w:tr w14:paraId="68E64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auto"/>
            <w:noWrap w:val="0"/>
            <w:vAlign w:val="center"/>
          </w:tcPr>
          <w:p w14:paraId="2919F902">
            <w:pPr>
              <w:pStyle w:val="19"/>
              <w:widowControl/>
              <w:numPr>
                <w:ilvl w:val="0"/>
                <w:numId w:val="2"/>
              </w:numPr>
              <w:spacing w:line="300" w:lineRule="exact"/>
              <w:ind w:firstLineChars="0"/>
              <w:jc w:val="center"/>
              <w:rPr>
                <w:rFonts w:hint="default" w:ascii="Times New Roman" w:hAnsi="Times New Roman" w:eastAsia="宋体" w:cs="Times New Roman"/>
                <w:color w:val="000000"/>
                <w:kern w:val="0"/>
                <w:szCs w:val="21"/>
              </w:rPr>
            </w:pPr>
          </w:p>
        </w:tc>
        <w:tc>
          <w:tcPr>
            <w:tcW w:w="4423" w:type="dxa"/>
            <w:shd w:val="clear" w:color="auto" w:fill="auto"/>
            <w:noWrap/>
            <w:vAlign w:val="center"/>
          </w:tcPr>
          <w:p w14:paraId="294E0822">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总砷</w:t>
            </w:r>
          </w:p>
        </w:tc>
        <w:tc>
          <w:tcPr>
            <w:tcW w:w="3261" w:type="dxa"/>
            <w:shd w:val="clear" w:color="auto" w:fill="FFFFFF"/>
            <w:noWrap w:val="0"/>
            <w:vAlign w:val="center"/>
          </w:tcPr>
          <w:p w14:paraId="6D415121">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23349</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2020</w:t>
            </w:r>
          </w:p>
        </w:tc>
      </w:tr>
      <w:tr w14:paraId="3D5EA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auto"/>
            <w:noWrap w:val="0"/>
            <w:vAlign w:val="center"/>
          </w:tcPr>
          <w:p w14:paraId="0A71CD82">
            <w:pPr>
              <w:pStyle w:val="19"/>
              <w:widowControl/>
              <w:numPr>
                <w:ilvl w:val="0"/>
                <w:numId w:val="2"/>
              </w:numPr>
              <w:spacing w:line="300" w:lineRule="exact"/>
              <w:ind w:firstLineChars="0"/>
              <w:jc w:val="center"/>
              <w:rPr>
                <w:rFonts w:hint="default" w:ascii="Times New Roman" w:hAnsi="Times New Roman" w:eastAsia="宋体" w:cs="Times New Roman"/>
                <w:color w:val="000000"/>
                <w:kern w:val="0"/>
                <w:szCs w:val="21"/>
              </w:rPr>
            </w:pPr>
          </w:p>
        </w:tc>
        <w:tc>
          <w:tcPr>
            <w:tcW w:w="4423" w:type="dxa"/>
            <w:shd w:val="clear" w:color="auto" w:fill="auto"/>
            <w:noWrap/>
            <w:vAlign w:val="center"/>
          </w:tcPr>
          <w:p w14:paraId="5DF84F96">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总镉</w:t>
            </w:r>
          </w:p>
        </w:tc>
        <w:tc>
          <w:tcPr>
            <w:tcW w:w="3261" w:type="dxa"/>
            <w:shd w:val="clear" w:color="auto" w:fill="FFFFFF"/>
            <w:noWrap w:val="0"/>
            <w:vAlign w:val="center"/>
          </w:tcPr>
          <w:p w14:paraId="6210055D">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23349</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2020</w:t>
            </w:r>
          </w:p>
        </w:tc>
      </w:tr>
      <w:tr w14:paraId="55387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auto"/>
            <w:noWrap w:val="0"/>
            <w:vAlign w:val="center"/>
          </w:tcPr>
          <w:p w14:paraId="2A99C8EE">
            <w:pPr>
              <w:pStyle w:val="19"/>
              <w:widowControl/>
              <w:numPr>
                <w:ilvl w:val="0"/>
                <w:numId w:val="2"/>
              </w:numPr>
              <w:spacing w:line="300" w:lineRule="exact"/>
              <w:ind w:firstLineChars="0"/>
              <w:jc w:val="center"/>
              <w:rPr>
                <w:rFonts w:hint="default" w:ascii="Times New Roman" w:hAnsi="Times New Roman" w:eastAsia="宋体" w:cs="Times New Roman"/>
                <w:color w:val="000000"/>
                <w:kern w:val="0"/>
                <w:szCs w:val="21"/>
              </w:rPr>
            </w:pPr>
          </w:p>
        </w:tc>
        <w:tc>
          <w:tcPr>
            <w:tcW w:w="4423" w:type="dxa"/>
            <w:shd w:val="clear" w:color="auto" w:fill="auto"/>
            <w:noWrap/>
            <w:vAlign w:val="center"/>
          </w:tcPr>
          <w:p w14:paraId="30D892C6">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总铅</w:t>
            </w:r>
          </w:p>
        </w:tc>
        <w:tc>
          <w:tcPr>
            <w:tcW w:w="3261" w:type="dxa"/>
            <w:shd w:val="clear" w:color="auto" w:fill="FFFFFF"/>
            <w:noWrap w:val="0"/>
            <w:vAlign w:val="center"/>
          </w:tcPr>
          <w:p w14:paraId="15631FE3">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23349</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2020</w:t>
            </w:r>
          </w:p>
        </w:tc>
      </w:tr>
      <w:tr w14:paraId="56959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auto"/>
            <w:noWrap w:val="0"/>
            <w:vAlign w:val="center"/>
          </w:tcPr>
          <w:p w14:paraId="3D20F44A">
            <w:pPr>
              <w:pStyle w:val="19"/>
              <w:widowControl/>
              <w:numPr>
                <w:ilvl w:val="0"/>
                <w:numId w:val="2"/>
              </w:numPr>
              <w:spacing w:line="300" w:lineRule="exact"/>
              <w:ind w:firstLineChars="0"/>
              <w:jc w:val="center"/>
              <w:rPr>
                <w:rFonts w:hint="default" w:ascii="Times New Roman" w:hAnsi="Times New Roman" w:eastAsia="宋体" w:cs="Times New Roman"/>
                <w:color w:val="000000"/>
                <w:kern w:val="0"/>
                <w:szCs w:val="21"/>
              </w:rPr>
            </w:pPr>
          </w:p>
        </w:tc>
        <w:tc>
          <w:tcPr>
            <w:tcW w:w="4423" w:type="dxa"/>
            <w:shd w:val="clear" w:color="auto" w:fill="auto"/>
            <w:noWrap/>
            <w:vAlign w:val="center"/>
          </w:tcPr>
          <w:p w14:paraId="1290FC55">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总铬</w:t>
            </w:r>
          </w:p>
        </w:tc>
        <w:tc>
          <w:tcPr>
            <w:tcW w:w="3261" w:type="dxa"/>
            <w:shd w:val="clear" w:color="auto" w:fill="FFFFFF"/>
            <w:noWrap w:val="0"/>
            <w:vAlign w:val="center"/>
          </w:tcPr>
          <w:p w14:paraId="76DF6B3C">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23349</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2020</w:t>
            </w:r>
          </w:p>
        </w:tc>
      </w:tr>
      <w:tr w14:paraId="00651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shd w:val="clear" w:color="auto" w:fill="auto"/>
            <w:noWrap w:val="0"/>
            <w:vAlign w:val="center"/>
          </w:tcPr>
          <w:p w14:paraId="5DA64BDB">
            <w:pPr>
              <w:pStyle w:val="19"/>
              <w:widowControl/>
              <w:numPr>
                <w:ilvl w:val="0"/>
                <w:numId w:val="2"/>
              </w:numPr>
              <w:spacing w:line="300" w:lineRule="exact"/>
              <w:ind w:firstLineChars="0"/>
              <w:jc w:val="center"/>
              <w:rPr>
                <w:rFonts w:hint="default" w:ascii="Times New Roman" w:hAnsi="Times New Roman" w:eastAsia="宋体" w:cs="Times New Roman"/>
                <w:color w:val="000000"/>
                <w:kern w:val="0"/>
                <w:szCs w:val="21"/>
              </w:rPr>
            </w:pPr>
          </w:p>
        </w:tc>
        <w:tc>
          <w:tcPr>
            <w:tcW w:w="4423" w:type="dxa"/>
            <w:shd w:val="clear" w:color="auto" w:fill="auto"/>
            <w:noWrap/>
            <w:vAlign w:val="center"/>
          </w:tcPr>
          <w:p w14:paraId="3DF3BF33">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总汞</w:t>
            </w:r>
          </w:p>
        </w:tc>
        <w:tc>
          <w:tcPr>
            <w:tcW w:w="3261" w:type="dxa"/>
            <w:shd w:val="clear" w:color="auto" w:fill="FFFFFF"/>
            <w:noWrap w:val="0"/>
            <w:vAlign w:val="center"/>
          </w:tcPr>
          <w:p w14:paraId="028C7923">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23349</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2020</w:t>
            </w:r>
          </w:p>
        </w:tc>
      </w:tr>
      <w:tr w14:paraId="5EE2A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55B201DF">
            <w:pPr>
              <w:pStyle w:val="19"/>
              <w:widowControl/>
              <w:numPr>
                <w:ilvl w:val="0"/>
                <w:numId w:val="2"/>
              </w:numPr>
              <w:spacing w:line="300" w:lineRule="exact"/>
              <w:ind w:firstLineChars="0"/>
              <w:jc w:val="center"/>
              <w:rPr>
                <w:rFonts w:hint="default" w:ascii="Times New Roman" w:hAnsi="Times New Roman" w:eastAsia="宋体" w:cs="Times New Roman"/>
                <w:color w:val="000000"/>
                <w:kern w:val="0"/>
                <w:szCs w:val="21"/>
              </w:rPr>
            </w:pPr>
          </w:p>
        </w:tc>
        <w:tc>
          <w:tcPr>
            <w:tcW w:w="4423" w:type="dxa"/>
            <w:noWrap/>
            <w:vAlign w:val="center"/>
          </w:tcPr>
          <w:p w14:paraId="31F0CAE3">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总铊</w:t>
            </w:r>
          </w:p>
        </w:tc>
        <w:tc>
          <w:tcPr>
            <w:tcW w:w="3261" w:type="dxa"/>
            <w:noWrap w:val="0"/>
            <w:vAlign w:val="center"/>
          </w:tcPr>
          <w:p w14:paraId="06A10496">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 38400</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2019</w:t>
            </w:r>
          </w:p>
        </w:tc>
      </w:tr>
      <w:tr w14:paraId="76878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4" w:type="dxa"/>
            <w:noWrap w:val="0"/>
            <w:vAlign w:val="center"/>
          </w:tcPr>
          <w:p w14:paraId="01D92C66">
            <w:pPr>
              <w:pStyle w:val="19"/>
              <w:widowControl/>
              <w:numPr>
                <w:ilvl w:val="0"/>
                <w:numId w:val="2"/>
              </w:numPr>
              <w:spacing w:line="300" w:lineRule="exact"/>
              <w:ind w:firstLineChars="0"/>
              <w:jc w:val="center"/>
              <w:rPr>
                <w:rFonts w:hint="default" w:ascii="Times New Roman" w:hAnsi="Times New Roman" w:eastAsia="宋体" w:cs="Times New Roman"/>
                <w:color w:val="000000"/>
                <w:kern w:val="0"/>
                <w:szCs w:val="21"/>
              </w:rPr>
            </w:pPr>
          </w:p>
        </w:tc>
        <w:tc>
          <w:tcPr>
            <w:tcW w:w="4423" w:type="dxa"/>
            <w:noWrap w:val="0"/>
            <w:vAlign w:val="center"/>
          </w:tcPr>
          <w:p w14:paraId="2949A826">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缩二脲</w:t>
            </w:r>
          </w:p>
        </w:tc>
        <w:tc>
          <w:tcPr>
            <w:tcW w:w="3261" w:type="dxa"/>
            <w:noWrap w:val="0"/>
            <w:vAlign w:val="center"/>
          </w:tcPr>
          <w:p w14:paraId="0D31116F">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22924</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2024</w:t>
            </w:r>
          </w:p>
        </w:tc>
      </w:tr>
      <w:tr w14:paraId="71C24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24" w:type="dxa"/>
            <w:noWrap w:val="0"/>
            <w:vAlign w:val="center"/>
          </w:tcPr>
          <w:p w14:paraId="3813E249">
            <w:pPr>
              <w:pStyle w:val="19"/>
              <w:widowControl/>
              <w:numPr>
                <w:ilvl w:val="0"/>
                <w:numId w:val="2"/>
              </w:numPr>
              <w:spacing w:line="300" w:lineRule="exact"/>
              <w:ind w:firstLineChars="0"/>
              <w:jc w:val="center"/>
              <w:rPr>
                <w:rFonts w:hint="default" w:ascii="Times New Roman" w:hAnsi="Times New Roman" w:eastAsia="宋体" w:cs="Times New Roman"/>
                <w:color w:val="000000"/>
                <w:kern w:val="0"/>
                <w:szCs w:val="21"/>
              </w:rPr>
            </w:pPr>
          </w:p>
        </w:tc>
        <w:tc>
          <w:tcPr>
            <w:tcW w:w="4423" w:type="dxa"/>
            <w:noWrap w:val="0"/>
            <w:vAlign w:val="center"/>
          </w:tcPr>
          <w:p w14:paraId="47FA6326">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包装标识（养分含量、含氯标识、其他、名称中的禁用语等）</w:t>
            </w:r>
          </w:p>
        </w:tc>
        <w:tc>
          <w:tcPr>
            <w:tcW w:w="3261" w:type="dxa"/>
            <w:noWrap w:val="0"/>
            <w:vAlign w:val="center"/>
          </w:tcPr>
          <w:p w14:paraId="7D1AC2B9">
            <w:pPr>
              <w:widowControl/>
              <w:spacing w:line="300" w:lineRule="exact"/>
              <w:jc w:val="center"/>
              <w:rPr>
                <w:rFonts w:hint="default" w:ascii="Times New Roman" w:hAnsi="Times New Roman" w:cs="Times New Roman"/>
                <w:bCs/>
                <w:color w:val="000000"/>
                <w:szCs w:val="21"/>
              </w:rPr>
            </w:pPr>
            <w:r>
              <w:rPr>
                <w:rFonts w:hint="default" w:ascii="Times New Roman" w:hAnsi="Times New Roman" w:cs="Times New Roman"/>
                <w:color w:val="000000"/>
                <w:kern w:val="0"/>
                <w:szCs w:val="21"/>
              </w:rPr>
              <w:t>GB 18382</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2021</w:t>
            </w:r>
          </w:p>
          <w:p w14:paraId="3CA63F96">
            <w:pPr>
              <w:widowControl/>
              <w:spacing w:line="300" w:lineRule="exact"/>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GB/T 21633</w:t>
            </w:r>
            <w:r>
              <w:rPr>
                <w:rFonts w:hint="default" w:ascii="Times New Roman" w:hAnsi="Times New Roman" w:cs="Times New Roman"/>
                <w:color w:val="000000"/>
                <w:szCs w:val="21"/>
              </w:rPr>
              <w:t>—</w:t>
            </w:r>
            <w:r>
              <w:rPr>
                <w:rFonts w:hint="default" w:ascii="Times New Roman" w:hAnsi="Times New Roman" w:cs="Times New Roman"/>
                <w:color w:val="000000"/>
                <w:kern w:val="0"/>
                <w:szCs w:val="21"/>
              </w:rPr>
              <w:t>2020</w:t>
            </w:r>
          </w:p>
        </w:tc>
      </w:tr>
    </w:tbl>
    <w:p w14:paraId="0B250C6D">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执行企业标准、团体标准、地方标准的产品，检验项目参照上述内容执行。</w:t>
      </w:r>
    </w:p>
    <w:p w14:paraId="44553EBA">
      <w:pPr>
        <w:snapToGrid w:val="0"/>
        <w:spacing w:line="440" w:lineRule="exact"/>
        <w:ind w:firstLine="359" w:firstLineChars="171"/>
        <w:rPr>
          <w:color w:val="000000"/>
          <w:szCs w:val="21"/>
        </w:rPr>
      </w:pPr>
    </w:p>
    <w:p w14:paraId="355614EE">
      <w:pPr>
        <w:spacing w:line="440" w:lineRule="exact"/>
        <w:rPr>
          <w:rFonts w:eastAsia="黑体"/>
          <w:color w:val="000000"/>
          <w:szCs w:val="21"/>
        </w:rPr>
      </w:pPr>
      <w:r>
        <w:rPr>
          <w:rFonts w:eastAsia="黑体"/>
          <w:color w:val="000000"/>
          <w:szCs w:val="21"/>
        </w:rPr>
        <w:t>3 判定规则</w:t>
      </w:r>
    </w:p>
    <w:p w14:paraId="78D57E66">
      <w:pPr>
        <w:snapToGrid w:val="0"/>
        <w:spacing w:line="440" w:lineRule="exact"/>
        <w:rPr>
          <w:color w:val="000000"/>
          <w:szCs w:val="21"/>
        </w:rPr>
      </w:pPr>
      <w:r>
        <w:rPr>
          <w:color w:val="000000"/>
          <w:szCs w:val="21"/>
        </w:rPr>
        <w:t>3.1依据标准</w:t>
      </w:r>
    </w:p>
    <w:p w14:paraId="5D4B1065">
      <w:pPr>
        <w:spacing w:line="440" w:lineRule="exact"/>
        <w:ind w:firstLine="420" w:firstLineChars="200"/>
        <w:rPr>
          <w:rFonts w:hint="default" w:ascii="Times New Roman" w:hAnsi="Times New Roman" w:cs="Times New Roman"/>
          <w:bCs/>
          <w:color w:val="000000"/>
          <w:szCs w:val="21"/>
        </w:rPr>
      </w:pPr>
      <w:r>
        <w:rPr>
          <w:rFonts w:hint="default" w:ascii="Times New Roman" w:hAnsi="Times New Roman" w:cs="Times New Roman"/>
          <w:bCs/>
          <w:color w:val="000000"/>
          <w:szCs w:val="21"/>
        </w:rPr>
        <w:t>GB 18382</w:t>
      </w:r>
      <w:r>
        <w:rPr>
          <w:rFonts w:hint="default" w:ascii="Times New Roman" w:hAnsi="Times New Roman" w:cs="Times New Roman"/>
          <w:color w:val="000000"/>
          <w:szCs w:val="21"/>
        </w:rPr>
        <w:t>—</w:t>
      </w:r>
      <w:r>
        <w:rPr>
          <w:rFonts w:hint="default" w:ascii="Times New Roman" w:hAnsi="Times New Roman" w:cs="Times New Roman"/>
          <w:bCs/>
          <w:color w:val="000000"/>
          <w:szCs w:val="21"/>
        </w:rPr>
        <w:t>2021 肥料标识 内容和要求</w:t>
      </w:r>
    </w:p>
    <w:p w14:paraId="6230E1B8">
      <w:pPr>
        <w:spacing w:line="440" w:lineRule="exact"/>
        <w:ind w:firstLine="420" w:firstLineChars="200"/>
        <w:rPr>
          <w:rFonts w:hint="default" w:ascii="Times New Roman" w:hAnsi="Times New Roman" w:cs="Times New Roman"/>
          <w:bCs/>
          <w:color w:val="000000"/>
          <w:szCs w:val="21"/>
        </w:rPr>
      </w:pPr>
      <w:r>
        <w:rPr>
          <w:rFonts w:hint="default" w:ascii="Times New Roman" w:hAnsi="Times New Roman" w:cs="Times New Roman"/>
          <w:bCs/>
          <w:color w:val="000000"/>
          <w:szCs w:val="21"/>
        </w:rPr>
        <w:t>GB 38400</w:t>
      </w:r>
      <w:r>
        <w:rPr>
          <w:rFonts w:hint="default" w:ascii="Times New Roman" w:hAnsi="Times New Roman" w:cs="Times New Roman"/>
          <w:color w:val="000000"/>
          <w:szCs w:val="21"/>
        </w:rPr>
        <w:t>—</w:t>
      </w:r>
      <w:r>
        <w:rPr>
          <w:rFonts w:hint="default" w:ascii="Times New Roman" w:hAnsi="Times New Roman" w:cs="Times New Roman"/>
          <w:bCs/>
          <w:color w:val="000000"/>
          <w:szCs w:val="21"/>
        </w:rPr>
        <w:t>2019 肥料中有毒有害物质的限量要求</w:t>
      </w:r>
    </w:p>
    <w:p w14:paraId="31BAF5F1">
      <w:pPr>
        <w:spacing w:line="440" w:lineRule="exact"/>
        <w:ind w:firstLine="420" w:firstLineChars="200"/>
        <w:rPr>
          <w:rFonts w:hint="default" w:ascii="Times New Roman" w:hAnsi="Times New Roman" w:cs="Times New Roman"/>
          <w:bCs/>
          <w:color w:val="000000"/>
          <w:szCs w:val="21"/>
        </w:rPr>
      </w:pPr>
      <w:r>
        <w:rPr>
          <w:rFonts w:hint="default" w:ascii="Times New Roman" w:hAnsi="Times New Roman" w:cs="Times New Roman"/>
          <w:bCs/>
          <w:color w:val="000000"/>
          <w:szCs w:val="21"/>
        </w:rPr>
        <w:t>GB/T 15063</w:t>
      </w:r>
      <w:r>
        <w:rPr>
          <w:rFonts w:hint="default" w:ascii="Times New Roman" w:hAnsi="Times New Roman" w:cs="Times New Roman"/>
          <w:color w:val="000000"/>
          <w:szCs w:val="21"/>
        </w:rPr>
        <w:t>—</w:t>
      </w:r>
      <w:r>
        <w:rPr>
          <w:rFonts w:hint="default" w:ascii="Times New Roman" w:hAnsi="Times New Roman" w:cs="Times New Roman"/>
          <w:bCs/>
          <w:color w:val="000000"/>
          <w:szCs w:val="21"/>
        </w:rPr>
        <w:t>2020 复合肥料</w:t>
      </w:r>
    </w:p>
    <w:p w14:paraId="35F51FE1">
      <w:pPr>
        <w:spacing w:line="440" w:lineRule="exact"/>
        <w:ind w:firstLine="420" w:firstLineChars="200"/>
        <w:rPr>
          <w:rFonts w:hint="default" w:ascii="Times New Roman" w:hAnsi="Times New Roman" w:cs="Times New Roman"/>
          <w:bCs/>
          <w:color w:val="000000"/>
          <w:szCs w:val="21"/>
        </w:rPr>
      </w:pPr>
      <w:r>
        <w:rPr>
          <w:rFonts w:hint="default" w:ascii="Times New Roman" w:hAnsi="Times New Roman" w:cs="Times New Roman"/>
          <w:bCs/>
          <w:color w:val="000000"/>
          <w:szCs w:val="21"/>
        </w:rPr>
        <w:t>GB/T 21633</w:t>
      </w:r>
      <w:r>
        <w:rPr>
          <w:rFonts w:hint="default" w:ascii="Times New Roman" w:hAnsi="Times New Roman" w:cs="Times New Roman"/>
          <w:color w:val="000000"/>
          <w:szCs w:val="21"/>
        </w:rPr>
        <w:t>—</w:t>
      </w:r>
      <w:r>
        <w:rPr>
          <w:rFonts w:hint="default" w:ascii="Times New Roman" w:hAnsi="Times New Roman" w:cs="Times New Roman"/>
          <w:bCs/>
          <w:color w:val="000000"/>
          <w:szCs w:val="21"/>
        </w:rPr>
        <w:t>2020 掺混肥料（BB肥）</w:t>
      </w:r>
    </w:p>
    <w:p w14:paraId="0C2BFD0B">
      <w:pPr>
        <w:spacing w:line="440" w:lineRule="exact"/>
        <w:ind w:firstLine="420" w:firstLineChars="200"/>
        <w:rPr>
          <w:rFonts w:hint="default" w:ascii="Times New Roman" w:hAnsi="Times New Roman" w:cs="Times New Roman"/>
          <w:bCs/>
          <w:strike/>
          <w:color w:val="000000"/>
          <w:szCs w:val="21"/>
        </w:rPr>
      </w:pPr>
      <w:r>
        <w:rPr>
          <w:rFonts w:hint="default" w:ascii="Times New Roman" w:hAnsi="Times New Roman" w:cs="Times New Roman"/>
          <w:color w:val="000000"/>
          <w:szCs w:val="21"/>
        </w:rPr>
        <w:t>现行有效的企业标准、团体标准、地方标准及产品明示质量要求</w:t>
      </w:r>
    </w:p>
    <w:p w14:paraId="47CE6D4C">
      <w:pPr>
        <w:snapToGrid w:val="0"/>
        <w:spacing w:line="440" w:lineRule="exact"/>
        <w:rPr>
          <w:color w:val="000000"/>
          <w:szCs w:val="21"/>
        </w:rPr>
      </w:pPr>
      <w:r>
        <w:rPr>
          <w:color w:val="000000"/>
          <w:szCs w:val="21"/>
        </w:rPr>
        <w:t>3.2判定原则</w:t>
      </w:r>
    </w:p>
    <w:p w14:paraId="0AE69108">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3576788F">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691C4E4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7065BFE5">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20F1CB0C">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7E5DE9CA">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5455CC1A">
      <w:pPr>
        <w:spacing w:line="440" w:lineRule="exact"/>
        <w:rPr>
          <w:rFonts w:eastAsia="黑体"/>
          <w:color w:val="000000"/>
          <w:szCs w:val="21"/>
        </w:rPr>
      </w:pPr>
    </w:p>
    <w:p w14:paraId="684A3E6F">
      <w:pPr>
        <w:snapToGrid w:val="0"/>
        <w:spacing w:line="440" w:lineRule="exact"/>
        <w:ind w:firstLine="417" w:firstLineChars="199"/>
        <w:rPr>
          <w:color w:val="FF0000"/>
          <w:szCs w:val="21"/>
        </w:rPr>
      </w:pP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4018DEC-4785-4947-92F4-1002F203E20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00000" w:usb2="00000000" w:usb3="00000000" w:csb0="00040000" w:csb1="00000000"/>
    <w:embedRegular r:id="rId2" w:fontKey="{2365612E-0673-40C2-8698-EB2929C7DD5C}"/>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84DCFB">
    <w:pPr>
      <w:pStyle w:val="5"/>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14:paraId="49AB2C1D">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17383">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14:paraId="5E00942E">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8BD27">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503010"/>
    <w:multiLevelType w:val="multilevel"/>
    <w:tmpl w:val="34503010"/>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59C3213"/>
    <w:multiLevelType w:val="multilevel"/>
    <w:tmpl w:val="759C3213"/>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NhNDIxZGFmMDc4NmEwYzRiZTdlNGJhNzUyNWE5YmMifQ=="/>
  </w:docVars>
  <w:rsids>
    <w:rsidRoot w:val="00172A27"/>
    <w:rsid w:val="00022BB7"/>
    <w:rsid w:val="00051A44"/>
    <w:rsid w:val="00081BFC"/>
    <w:rsid w:val="00081CBD"/>
    <w:rsid w:val="000976DE"/>
    <w:rsid w:val="000B6ABB"/>
    <w:rsid w:val="000C71C5"/>
    <w:rsid w:val="000E64EC"/>
    <w:rsid w:val="00123D1C"/>
    <w:rsid w:val="00126E8C"/>
    <w:rsid w:val="001809DD"/>
    <w:rsid w:val="001D41FE"/>
    <w:rsid w:val="00217ADB"/>
    <w:rsid w:val="00217EFE"/>
    <w:rsid w:val="002248FC"/>
    <w:rsid w:val="00232530"/>
    <w:rsid w:val="00253624"/>
    <w:rsid w:val="00257D6A"/>
    <w:rsid w:val="00265829"/>
    <w:rsid w:val="002A26B1"/>
    <w:rsid w:val="002A4E85"/>
    <w:rsid w:val="002B1327"/>
    <w:rsid w:val="002D7F8A"/>
    <w:rsid w:val="002E0D1D"/>
    <w:rsid w:val="002E3CBD"/>
    <w:rsid w:val="003171B9"/>
    <w:rsid w:val="003203A3"/>
    <w:rsid w:val="00365CBE"/>
    <w:rsid w:val="00366AAC"/>
    <w:rsid w:val="00373250"/>
    <w:rsid w:val="003A7D30"/>
    <w:rsid w:val="003C388C"/>
    <w:rsid w:val="003D09A1"/>
    <w:rsid w:val="003D5D6D"/>
    <w:rsid w:val="003E61BF"/>
    <w:rsid w:val="004104AC"/>
    <w:rsid w:val="00423248"/>
    <w:rsid w:val="00423432"/>
    <w:rsid w:val="00425EDF"/>
    <w:rsid w:val="00441C82"/>
    <w:rsid w:val="00445E86"/>
    <w:rsid w:val="0045434D"/>
    <w:rsid w:val="00474E04"/>
    <w:rsid w:val="00497789"/>
    <w:rsid w:val="004A652D"/>
    <w:rsid w:val="004D0C5A"/>
    <w:rsid w:val="004D184C"/>
    <w:rsid w:val="004E1396"/>
    <w:rsid w:val="004E6C21"/>
    <w:rsid w:val="00563EBC"/>
    <w:rsid w:val="005A7D12"/>
    <w:rsid w:val="005A7F51"/>
    <w:rsid w:val="005C747C"/>
    <w:rsid w:val="005D5AB2"/>
    <w:rsid w:val="005E1255"/>
    <w:rsid w:val="00615D62"/>
    <w:rsid w:val="00650D07"/>
    <w:rsid w:val="006E1171"/>
    <w:rsid w:val="006F083B"/>
    <w:rsid w:val="006F0971"/>
    <w:rsid w:val="0072334C"/>
    <w:rsid w:val="00732369"/>
    <w:rsid w:val="007776A3"/>
    <w:rsid w:val="007936A9"/>
    <w:rsid w:val="007A4D3E"/>
    <w:rsid w:val="00813976"/>
    <w:rsid w:val="00895BEA"/>
    <w:rsid w:val="008A2D10"/>
    <w:rsid w:val="008A3497"/>
    <w:rsid w:val="008B0CE8"/>
    <w:rsid w:val="008C0269"/>
    <w:rsid w:val="008D611B"/>
    <w:rsid w:val="008E57A0"/>
    <w:rsid w:val="00917A54"/>
    <w:rsid w:val="009E6B57"/>
    <w:rsid w:val="00A05840"/>
    <w:rsid w:val="00A06CAA"/>
    <w:rsid w:val="00A23D98"/>
    <w:rsid w:val="00A43553"/>
    <w:rsid w:val="00AB0E18"/>
    <w:rsid w:val="00AC5391"/>
    <w:rsid w:val="00B65F23"/>
    <w:rsid w:val="00BF2B8C"/>
    <w:rsid w:val="00BF79EC"/>
    <w:rsid w:val="00C25913"/>
    <w:rsid w:val="00C26074"/>
    <w:rsid w:val="00C83B0A"/>
    <w:rsid w:val="00C8574F"/>
    <w:rsid w:val="00CE1E0C"/>
    <w:rsid w:val="00CE277E"/>
    <w:rsid w:val="00CE2D07"/>
    <w:rsid w:val="00D56867"/>
    <w:rsid w:val="00D93DF0"/>
    <w:rsid w:val="00D9546C"/>
    <w:rsid w:val="00DE21CA"/>
    <w:rsid w:val="00DF244F"/>
    <w:rsid w:val="00E02A7F"/>
    <w:rsid w:val="00E067B5"/>
    <w:rsid w:val="00E07880"/>
    <w:rsid w:val="00E47B4B"/>
    <w:rsid w:val="00E533E6"/>
    <w:rsid w:val="00E82621"/>
    <w:rsid w:val="00E91587"/>
    <w:rsid w:val="00E961E8"/>
    <w:rsid w:val="00EC25ED"/>
    <w:rsid w:val="00ED4DB4"/>
    <w:rsid w:val="00F110B9"/>
    <w:rsid w:val="00F31C0B"/>
    <w:rsid w:val="00F77C9A"/>
    <w:rsid w:val="00FB576C"/>
    <w:rsid w:val="00FD2AA6"/>
    <w:rsid w:val="00FE7E8A"/>
    <w:rsid w:val="06EB1561"/>
    <w:rsid w:val="1A597193"/>
    <w:rsid w:val="1C365251"/>
    <w:rsid w:val="20971CA1"/>
    <w:rsid w:val="25E16C62"/>
    <w:rsid w:val="277A0467"/>
    <w:rsid w:val="49557320"/>
    <w:rsid w:val="4FC76963"/>
    <w:rsid w:val="56BA24C5"/>
    <w:rsid w:val="6069640F"/>
    <w:rsid w:val="60BE3942"/>
    <w:rsid w:val="64132CAD"/>
    <w:rsid w:val="65C42A5C"/>
    <w:rsid w:val="703A6FAE"/>
    <w:rsid w:val="7A1D0398"/>
    <w:rsid w:val="7F9A356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link w:val="12"/>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semiHidden/>
    <w:qFormat/>
    <w:uiPriority w:val="0"/>
  </w:style>
  <w:style w:type="table" w:default="1" w:styleId="8">
    <w:name w:val="Normal Table"/>
    <w:unhideWhenUsed/>
    <w:qFormat/>
    <w:uiPriority w:val="99"/>
    <w:tblPr>
      <w:tblCellMar>
        <w:top w:w="0" w:type="dxa"/>
        <w:left w:w="108" w:type="dxa"/>
        <w:bottom w:w="0" w:type="dxa"/>
        <w:right w:w="108" w:type="dxa"/>
      </w:tblCellMar>
    </w:tblPr>
  </w:style>
  <w:style w:type="paragraph" w:styleId="3">
    <w:name w:val="annotation text"/>
    <w:basedOn w:val="1"/>
    <w:link w:val="13"/>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7"/>
    <w:unhideWhenUsed/>
    <w:uiPriority w:val="99"/>
    <w:rPr>
      <w:b/>
      <w:bCs/>
    </w:rPr>
  </w:style>
  <w:style w:type="character" w:styleId="10">
    <w:name w:val="page number"/>
    <w:qFormat/>
    <w:uiPriority w:val="0"/>
  </w:style>
  <w:style w:type="character" w:styleId="11">
    <w:name w:val="annotation reference"/>
    <w:unhideWhenUsed/>
    <w:qFormat/>
    <w:uiPriority w:val="99"/>
    <w:rPr>
      <w:sz w:val="21"/>
      <w:szCs w:val="21"/>
    </w:rPr>
  </w:style>
  <w:style w:type="character" w:customStyle="1" w:styleId="12">
    <w:name w:val="标题 3 Char"/>
    <w:link w:val="2"/>
    <w:qFormat/>
    <w:uiPriority w:val="9"/>
    <w:rPr>
      <w:rFonts w:ascii="宋体" w:hAnsi="宋体" w:cs="宋体"/>
      <w:b/>
      <w:bCs/>
      <w:sz w:val="27"/>
      <w:szCs w:val="27"/>
    </w:rPr>
  </w:style>
  <w:style w:type="character" w:customStyle="1" w:styleId="13">
    <w:name w:val="批注文字 Char"/>
    <w:link w:val="3"/>
    <w:semiHidden/>
    <w:qFormat/>
    <w:uiPriority w:val="99"/>
    <w:rPr>
      <w:kern w:val="2"/>
      <w:sz w:val="21"/>
      <w:szCs w:val="24"/>
    </w:rPr>
  </w:style>
  <w:style w:type="character" w:customStyle="1" w:styleId="14">
    <w:name w:val="批注框文本 Char"/>
    <w:link w:val="4"/>
    <w:semiHidden/>
    <w:qFormat/>
    <w:uiPriority w:val="99"/>
    <w:rPr>
      <w:kern w:val="2"/>
      <w:sz w:val="18"/>
      <w:szCs w:val="18"/>
    </w:rPr>
  </w:style>
  <w:style w:type="character" w:customStyle="1" w:styleId="15">
    <w:name w:val="页脚 Char"/>
    <w:link w:val="5"/>
    <w:uiPriority w:val="99"/>
    <w:rPr>
      <w:kern w:val="2"/>
      <w:sz w:val="18"/>
      <w:szCs w:val="18"/>
    </w:rPr>
  </w:style>
  <w:style w:type="character" w:customStyle="1" w:styleId="16">
    <w:name w:val="页眉 Char"/>
    <w:link w:val="6"/>
    <w:semiHidden/>
    <w:qFormat/>
    <w:uiPriority w:val="99"/>
    <w:rPr>
      <w:kern w:val="2"/>
      <w:sz w:val="18"/>
      <w:szCs w:val="18"/>
    </w:rPr>
  </w:style>
  <w:style w:type="character" w:customStyle="1" w:styleId="17">
    <w:name w:val="批注主题 Char"/>
    <w:link w:val="7"/>
    <w:semiHidden/>
    <w:qFormat/>
    <w:uiPriority w:val="99"/>
    <w:rPr>
      <w:b/>
      <w:bCs/>
      <w:kern w:val="2"/>
      <w:sz w:val="21"/>
      <w:szCs w:val="24"/>
    </w:rPr>
  </w:style>
  <w:style w:type="paragraph" w:customStyle="1" w:styleId="18">
    <w:name w:val="列出段落1"/>
    <w:basedOn w:val="1"/>
    <w:qFormat/>
    <w:uiPriority w:val="34"/>
    <w:pPr>
      <w:ind w:firstLine="420" w:firstLineChars="200"/>
    </w:pPr>
    <w:rPr>
      <w:rFonts w:ascii="Calibri" w:hAnsi="Calibri"/>
      <w:szCs w:val="22"/>
    </w:rPr>
  </w:style>
  <w:style w:type="paragraph" w:styleId="19">
    <w:name w:val="List Paragraph"/>
    <w:basedOn w:val="1"/>
    <w:qFormat/>
    <w:uiPriority w:val="34"/>
    <w:pPr>
      <w:ind w:firstLine="420" w:firstLineChars="200"/>
    </w:pPr>
    <w:rPr>
      <w:rFonts w:ascii="等线" w:hAnsi="等线" w:eastAsia="等线"/>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823</Words>
  <Characters>1325</Characters>
  <Lines>12</Lines>
  <Paragraphs>3</Paragraphs>
  <TotalTime>4</TotalTime>
  <ScaleCrop>false</ScaleCrop>
  <LinksUpToDate>false</LinksUpToDate>
  <CharactersWithSpaces>1371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2024-03-07T02:24:00Z</dcterms:created>
  <dc:creator>Legend User</dc:creator>
  <cp:lastModifiedBy>胡小东</cp:lastModifiedBy>
  <cp:lastPrinted>2019-12-05T07:53:00Z</cp:lastPrinted>
  <dcterms:modified xsi:type="dcterms:W3CDTF">2026-01-08T09:27:30Z</dcterms:modified>
  <dc:title>××产品质量监督抽查实施细则</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commondata">
    <vt:lpwstr>eyJoZGlkIjoiNDRmZDlmMjdkNDI1NjEzMmI2Y2M4ZTAxODQ5YmJlMTYifQ==</vt:lpwstr>
  </property>
  <property fmtid="{D5CDD505-2E9C-101B-9397-08002B2CF9AE}" pid="4" name="ICV">
    <vt:lpwstr>4543978C39674CC68B511B37CD255730_13</vt:lpwstr>
  </property>
  <property fmtid="{D5CDD505-2E9C-101B-9397-08002B2CF9AE}" pid="5" name="KSOTemplateDocerSaveRecord">
    <vt:lpwstr>eyJoZGlkIjoiY2M4ZDc0ZTgwYzc2MWZiYWQ3NjlmNTQ5NGE2OTBjNzMiLCJ1c2VySWQiOiIxNDQ1NDQyMzY0In0=</vt:lpwstr>
  </property>
</Properties>
</file>